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1"/>
      </w:tblGrid>
      <w:tr w:rsidR="002E41EE" w:rsidRPr="002E41EE" w14:paraId="7C7CC914" w14:textId="77777777" w:rsidTr="002E41EE">
        <w:trPr>
          <w:cantSplit/>
          <w:trHeight w:hRule="exact" w:val="227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EF3D3" w14:textId="4D01D300" w:rsidR="002E41EE" w:rsidRPr="002E41EE" w:rsidRDefault="002E41EE" w:rsidP="002E41EE">
            <w:bookmarkStart w:id="0" w:name="_Hlk88491279"/>
            <w:r w:rsidRPr="002E41EE">
              <w:t>Praxis</w:t>
            </w:r>
            <w:r>
              <w:t xml:space="preserve"> (Adress-Stempel)</w:t>
            </w:r>
          </w:p>
        </w:tc>
      </w:tr>
      <w:tr w:rsidR="002E41EE" w:rsidRPr="002E41EE" w14:paraId="14E6C0B7" w14:textId="77777777" w:rsidTr="002E41EE">
        <w:trPr>
          <w:cantSplit/>
          <w:trHeight w:hRule="exact" w:val="437"/>
        </w:trPr>
        <w:tc>
          <w:tcPr>
            <w:tcW w:w="48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05E4" w14:textId="77777777" w:rsidR="002E41EE" w:rsidRPr="002E41EE" w:rsidRDefault="002E41EE" w:rsidP="002E41EE"/>
          <w:p w14:paraId="255DDEF6" w14:textId="77777777" w:rsidR="002E41EE" w:rsidRPr="002E41EE" w:rsidRDefault="002E41EE" w:rsidP="002E41EE"/>
          <w:p w14:paraId="1D3F42C2" w14:textId="77777777" w:rsidR="002E41EE" w:rsidRPr="002E41EE" w:rsidRDefault="002E41EE" w:rsidP="002E41EE"/>
          <w:p w14:paraId="1EF0D995" w14:textId="77777777" w:rsidR="002E41EE" w:rsidRPr="002E41EE" w:rsidRDefault="002E41EE" w:rsidP="002E41EE"/>
          <w:p w14:paraId="18D7D916" w14:textId="77777777" w:rsidR="002E41EE" w:rsidRPr="002E41EE" w:rsidRDefault="002E41EE" w:rsidP="002E41EE"/>
          <w:p w14:paraId="2BAFDE0F" w14:textId="77777777" w:rsidR="002E41EE" w:rsidRPr="002E41EE" w:rsidRDefault="002E41EE" w:rsidP="002E41EE"/>
        </w:tc>
      </w:tr>
      <w:tr w:rsidR="002E41EE" w:rsidRPr="002E41EE" w14:paraId="73AA3BE5" w14:textId="77777777" w:rsidTr="002E41EE">
        <w:trPr>
          <w:cantSplit/>
          <w:trHeight w:hRule="exact" w:val="1180"/>
        </w:trPr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E918" w14:textId="77777777" w:rsidR="002E41EE" w:rsidRPr="002E41EE" w:rsidRDefault="002E41EE" w:rsidP="002E41EE"/>
        </w:tc>
      </w:tr>
    </w:tbl>
    <w:p w14:paraId="64C8BBE5" w14:textId="74633F14" w:rsidR="002E41EE" w:rsidRPr="00C82EBC" w:rsidRDefault="002E41EE" w:rsidP="002E41EE"/>
    <w:bookmarkEnd w:id="0"/>
    <w:p w14:paraId="44175C45" w14:textId="734BAFE6" w:rsidR="00DF503B" w:rsidRPr="00C82EBC" w:rsidRDefault="00DF503B"/>
    <w:p w14:paraId="07054C28" w14:textId="3E14ACAC" w:rsidR="002E41EE" w:rsidRPr="00F95523" w:rsidRDefault="002E41EE" w:rsidP="002E41EE">
      <w:pPr>
        <w:jc w:val="center"/>
        <w:rPr>
          <w:rFonts w:cs="Arial"/>
          <w:b/>
          <w:bCs/>
          <w:sz w:val="28"/>
          <w:szCs w:val="28"/>
        </w:rPr>
      </w:pPr>
      <w:r w:rsidRPr="00C82EBC">
        <w:rPr>
          <w:rFonts w:cs="Arial"/>
          <w:b/>
          <w:bCs/>
          <w:sz w:val="28"/>
          <w:szCs w:val="28"/>
        </w:rPr>
        <w:t>Testkonzept</w:t>
      </w:r>
      <w:r w:rsidR="00C82EBC" w:rsidRPr="00C82EBC">
        <w:rPr>
          <w:rFonts w:cs="Arial"/>
          <w:b/>
          <w:bCs/>
          <w:sz w:val="28"/>
          <w:szCs w:val="28"/>
        </w:rPr>
        <w:t xml:space="preserve"> </w:t>
      </w:r>
      <w:r w:rsidRPr="00C82EBC">
        <w:rPr>
          <w:rFonts w:cs="Arial"/>
          <w:b/>
          <w:bCs/>
          <w:sz w:val="28"/>
          <w:szCs w:val="28"/>
        </w:rPr>
        <w:t xml:space="preserve">für die Testung von in Zahnarztpraxen </w:t>
      </w:r>
      <w:r w:rsidR="00C82EBC" w:rsidRPr="00C82EBC">
        <w:rPr>
          <w:rFonts w:cs="Arial"/>
          <w:b/>
          <w:bCs/>
          <w:sz w:val="28"/>
          <w:szCs w:val="28"/>
        </w:rPr>
        <w:br/>
      </w:r>
      <w:r w:rsidRPr="00C82EBC">
        <w:rPr>
          <w:rFonts w:cs="Arial"/>
          <w:b/>
          <w:bCs/>
          <w:sz w:val="28"/>
          <w:szCs w:val="28"/>
        </w:rPr>
        <w:t>tätigen Personen</w:t>
      </w:r>
      <w:r w:rsidR="00ED05C7" w:rsidRPr="00C82EBC">
        <w:rPr>
          <w:rFonts w:cs="Arial"/>
          <w:b/>
          <w:bCs/>
          <w:sz w:val="28"/>
          <w:szCs w:val="28"/>
        </w:rPr>
        <w:t xml:space="preserve"> und Besuchern</w:t>
      </w:r>
      <w:r w:rsidRPr="00C82EBC">
        <w:rPr>
          <w:rFonts w:cs="Arial"/>
          <w:b/>
          <w:bCs/>
          <w:sz w:val="28"/>
          <w:szCs w:val="28"/>
        </w:rPr>
        <w:t xml:space="preserve"> auf das </w:t>
      </w:r>
      <w:r w:rsidRPr="00F95523">
        <w:rPr>
          <w:rFonts w:cs="Arial"/>
          <w:b/>
          <w:bCs/>
          <w:sz w:val="28"/>
          <w:szCs w:val="28"/>
        </w:rPr>
        <w:t>Coronavirus SARS-CoV-2</w:t>
      </w:r>
    </w:p>
    <w:p w14:paraId="67C05328" w14:textId="21C81C5A" w:rsidR="00A53109" w:rsidRPr="00F95523" w:rsidRDefault="00A53109" w:rsidP="00C82EBC">
      <w:pPr>
        <w:rPr>
          <w:rFonts w:cs="Arial"/>
        </w:rPr>
      </w:pPr>
    </w:p>
    <w:p w14:paraId="14F4780C" w14:textId="77777777" w:rsidR="00B916A8" w:rsidRPr="00F95523" w:rsidRDefault="00B916A8" w:rsidP="00C82EBC">
      <w:pPr>
        <w:rPr>
          <w:rFonts w:cs="Arial"/>
        </w:rPr>
      </w:pPr>
    </w:p>
    <w:p w14:paraId="71474CE1" w14:textId="10CADFE9" w:rsidR="002E41EE" w:rsidRPr="00101316" w:rsidRDefault="00101316" w:rsidP="00B916A8">
      <w:pPr>
        <w:pStyle w:val="Listenabsatz"/>
        <w:numPr>
          <w:ilvl w:val="0"/>
          <w:numId w:val="1"/>
        </w:numPr>
        <w:ind w:left="426" w:hanging="426"/>
        <w:rPr>
          <w:rFonts w:cs="Arial"/>
          <w:b/>
          <w:bCs/>
        </w:rPr>
      </w:pPr>
      <w:r w:rsidRPr="00101316">
        <w:rPr>
          <w:rFonts w:cs="Arial"/>
          <w:b/>
          <w:bCs/>
        </w:rPr>
        <w:t>In der Zahnarztpraxis tätige P</w:t>
      </w:r>
      <w:r>
        <w:rPr>
          <w:rFonts w:cs="Arial"/>
          <w:b/>
          <w:bCs/>
        </w:rPr>
        <w:t>ersonen</w:t>
      </w:r>
    </w:p>
    <w:p w14:paraId="10E346C0" w14:textId="77777777" w:rsidR="00B916A8" w:rsidRPr="00B916A8" w:rsidRDefault="00B916A8" w:rsidP="002E41EE">
      <w:pPr>
        <w:jc w:val="both"/>
        <w:rPr>
          <w:rFonts w:cs="Arial"/>
          <w:sz w:val="16"/>
          <w:szCs w:val="16"/>
        </w:rPr>
      </w:pPr>
    </w:p>
    <w:p w14:paraId="66530989" w14:textId="01AE258D" w:rsidR="002E41EE" w:rsidRDefault="002E41EE" w:rsidP="002E41EE">
      <w:pPr>
        <w:jc w:val="both"/>
        <w:rPr>
          <w:rFonts w:cs="Arial"/>
        </w:rPr>
      </w:pPr>
      <w:r w:rsidRPr="00257CA1">
        <w:rPr>
          <w:rFonts w:cs="Arial"/>
        </w:rPr>
        <w:t xml:space="preserve">Um eine Verbreitung des Coronavirus durch asymptomatisch </w:t>
      </w:r>
      <w:r>
        <w:rPr>
          <w:rFonts w:cs="Arial"/>
        </w:rPr>
        <w:t xml:space="preserve">tätige Personen </w:t>
      </w:r>
      <w:r w:rsidRPr="00257CA1">
        <w:rPr>
          <w:rFonts w:cs="Arial"/>
        </w:rPr>
        <w:t xml:space="preserve">in Zahnarztpraxen im Rahmen des </w:t>
      </w:r>
      <w:r>
        <w:rPr>
          <w:rFonts w:cs="Arial"/>
        </w:rPr>
        <w:t>Patientenk</w:t>
      </w:r>
      <w:r w:rsidRPr="00257CA1">
        <w:rPr>
          <w:rFonts w:cs="Arial"/>
        </w:rPr>
        <w:t>ontakts zu verhindern</w:t>
      </w:r>
      <w:r>
        <w:rPr>
          <w:rFonts w:cs="Arial"/>
        </w:rPr>
        <w:t xml:space="preserve"> bzw. zu reduzieren und den Vorgaben des Infektionsschutzgesetzes zu entsprechen</w:t>
      </w:r>
      <w:r w:rsidRPr="00257CA1">
        <w:rPr>
          <w:rFonts w:cs="Arial"/>
        </w:rPr>
        <w:t xml:space="preserve">, werden alle </w:t>
      </w:r>
      <w:r>
        <w:rPr>
          <w:rFonts w:cs="Arial"/>
        </w:rPr>
        <w:t xml:space="preserve">in der </w:t>
      </w:r>
      <w:r w:rsidRPr="00257CA1">
        <w:rPr>
          <w:rFonts w:cs="Arial"/>
        </w:rPr>
        <w:t>Praxis</w:t>
      </w:r>
      <w:r>
        <w:rPr>
          <w:rFonts w:cs="Arial"/>
        </w:rPr>
        <w:t xml:space="preserve"> tätigen Personen wie folgt getestet:</w:t>
      </w:r>
    </w:p>
    <w:p w14:paraId="1AA1BB5E" w14:textId="51FC9548" w:rsidR="002E41EE" w:rsidRDefault="002E41EE" w:rsidP="002E41EE">
      <w:pPr>
        <w:jc w:val="both"/>
        <w:rPr>
          <w:rFonts w:cs="Arial"/>
        </w:rPr>
      </w:pPr>
    </w:p>
    <w:p w14:paraId="61F7C85E" w14:textId="21E0AB5E" w:rsidR="00101316" w:rsidRPr="00101316" w:rsidRDefault="00101316" w:rsidP="002E41EE">
      <w:pPr>
        <w:jc w:val="both"/>
        <w:rPr>
          <w:rFonts w:cs="Arial"/>
          <w:b/>
          <w:bCs/>
        </w:rPr>
      </w:pPr>
      <w:r w:rsidRPr="00101316">
        <w:rPr>
          <w:rFonts w:cs="Arial"/>
          <w:b/>
          <w:bCs/>
        </w:rPr>
        <w:t>1.1 Geimpfte und genesen</w:t>
      </w:r>
      <w:r>
        <w:rPr>
          <w:rFonts w:cs="Arial"/>
          <w:b/>
          <w:bCs/>
        </w:rPr>
        <w:t>e</w:t>
      </w:r>
      <w:r w:rsidRPr="00101316">
        <w:rPr>
          <w:rFonts w:cs="Arial"/>
          <w:b/>
          <w:bCs/>
        </w:rPr>
        <w:t xml:space="preserve"> Personen</w:t>
      </w:r>
    </w:p>
    <w:p w14:paraId="37A9544B" w14:textId="77777777" w:rsidR="00101316" w:rsidRPr="00220E71" w:rsidRDefault="00101316" w:rsidP="002E41EE">
      <w:pPr>
        <w:jc w:val="both"/>
        <w:rPr>
          <w:rFonts w:cs="Arial"/>
          <w:sz w:val="16"/>
          <w:szCs w:val="16"/>
        </w:rPr>
      </w:pPr>
    </w:p>
    <w:p w14:paraId="55DF2145" w14:textId="24AEDB7E" w:rsidR="002E41EE" w:rsidRDefault="002E41EE" w:rsidP="00101316">
      <w:pPr>
        <w:jc w:val="both"/>
        <w:rPr>
          <w:rFonts w:cs="Arial"/>
        </w:rPr>
      </w:pPr>
      <w:r w:rsidRPr="00101316">
        <w:rPr>
          <w:rFonts w:cs="Arial"/>
        </w:rPr>
        <w:t>Personen, die gegen eine Erkrankung durch COVID-19 geimpft bzw. genesen sind</w:t>
      </w:r>
      <w:r w:rsidR="00101316" w:rsidRPr="00101316">
        <w:rPr>
          <w:rFonts w:cs="Arial"/>
        </w:rPr>
        <w:t xml:space="preserve">, müssen </w:t>
      </w:r>
      <w:r w:rsidR="00960F27" w:rsidRPr="00960F27">
        <w:rPr>
          <w:rFonts w:cs="Arial"/>
        </w:rPr>
        <w:t>täglich</w:t>
      </w:r>
      <w:r w:rsidR="00101316" w:rsidRPr="00101316">
        <w:rPr>
          <w:rFonts w:cs="Arial"/>
        </w:rPr>
        <w:t xml:space="preserve"> </w:t>
      </w:r>
      <w:r w:rsidR="00DF2CE2">
        <w:rPr>
          <w:rFonts w:cs="Arial"/>
        </w:rPr>
        <w:t>eine Testung vorweisen</w:t>
      </w:r>
      <w:r w:rsidR="00101316" w:rsidRPr="00101316">
        <w:rPr>
          <w:rFonts w:cs="Arial"/>
        </w:rPr>
        <w:t xml:space="preserve">. </w:t>
      </w:r>
      <w:r w:rsidR="00101316">
        <w:rPr>
          <w:rFonts w:cs="Arial"/>
        </w:rPr>
        <w:t xml:space="preserve">Die Testungen sind </w:t>
      </w:r>
      <w:r w:rsidRPr="00257CA1">
        <w:rPr>
          <w:rFonts w:cs="Arial"/>
        </w:rPr>
        <w:t xml:space="preserve">mittels </w:t>
      </w:r>
      <w:r w:rsidR="00F21005">
        <w:rPr>
          <w:rFonts w:cs="Arial"/>
        </w:rPr>
        <w:t>Corona-</w:t>
      </w:r>
      <w:r w:rsidRPr="00257CA1">
        <w:rPr>
          <w:rFonts w:cs="Arial"/>
        </w:rPr>
        <w:t>PoC-Antigen</w:t>
      </w:r>
      <w:r w:rsidR="00F21005">
        <w:rPr>
          <w:rFonts w:cs="Arial"/>
        </w:rPr>
        <w:t>-S</w:t>
      </w:r>
      <w:r w:rsidRPr="00257CA1">
        <w:rPr>
          <w:rFonts w:cs="Arial"/>
        </w:rPr>
        <w:t>chnelltest auf das Coronavirus SARS</w:t>
      </w:r>
      <w:r w:rsidR="00101316">
        <w:rPr>
          <w:rFonts w:cs="Arial"/>
        </w:rPr>
        <w:t>-</w:t>
      </w:r>
      <w:r w:rsidRPr="00257CA1">
        <w:rPr>
          <w:rFonts w:cs="Arial"/>
        </w:rPr>
        <w:t xml:space="preserve">CoV-2 (nach TestV) </w:t>
      </w:r>
      <w:r w:rsidR="00101316">
        <w:rPr>
          <w:rFonts w:cs="Arial"/>
        </w:rPr>
        <w:t>durchzuführen</w:t>
      </w:r>
      <w:r w:rsidR="00F21005">
        <w:rPr>
          <w:rFonts w:cs="Arial"/>
        </w:rPr>
        <w:t xml:space="preserve"> (auch Selbsttest ohne Aufsicht)</w:t>
      </w:r>
      <w:r>
        <w:rPr>
          <w:rFonts w:cs="Arial"/>
        </w:rPr>
        <w:t>.</w:t>
      </w:r>
      <w:r w:rsidR="00960F27">
        <w:rPr>
          <w:rFonts w:cs="Arial"/>
        </w:rPr>
        <w:t xml:space="preserve"> </w:t>
      </w:r>
      <w:r w:rsidR="00960F27" w:rsidRPr="00B916A8">
        <w:rPr>
          <w:rFonts w:cs="Arial"/>
        </w:rPr>
        <w:t xml:space="preserve">Alternativ können diese Personen auch einen Testnachweis mittels Nukleinsäureamplifikationstechnik (PCR, PoC-PCR) erbringen. Dieser </w:t>
      </w:r>
      <w:r w:rsidR="00960F27">
        <w:rPr>
          <w:rFonts w:cs="Arial"/>
        </w:rPr>
        <w:t xml:space="preserve">muss </w:t>
      </w:r>
      <w:r w:rsidR="003A143B">
        <w:rPr>
          <w:rFonts w:cs="Arial"/>
        </w:rPr>
        <w:t xml:space="preserve">dann </w:t>
      </w:r>
      <w:r w:rsidR="00960F27">
        <w:rPr>
          <w:rFonts w:cs="Arial"/>
        </w:rPr>
        <w:t xml:space="preserve">nur zwei Mal pro Woche erfolgen. </w:t>
      </w:r>
    </w:p>
    <w:p w14:paraId="6C0C2882" w14:textId="461543DF" w:rsidR="002E41EE" w:rsidRDefault="002E41EE" w:rsidP="002E41EE">
      <w:pPr>
        <w:jc w:val="both"/>
        <w:rPr>
          <w:rFonts w:cs="Arial"/>
        </w:rPr>
      </w:pPr>
    </w:p>
    <w:p w14:paraId="79D49596" w14:textId="49913674" w:rsidR="006A24DA" w:rsidRDefault="006A24DA" w:rsidP="002E41EE">
      <w:pPr>
        <w:jc w:val="both"/>
        <w:rPr>
          <w:rFonts w:cs="Arial"/>
          <w:b/>
          <w:bCs/>
        </w:rPr>
      </w:pPr>
      <w:r w:rsidRPr="006A24DA">
        <w:rPr>
          <w:rFonts w:cs="Arial"/>
          <w:b/>
          <w:bCs/>
        </w:rPr>
        <w:t>1.2 Ungeimpfte Personen</w:t>
      </w:r>
    </w:p>
    <w:p w14:paraId="62E2E4FE" w14:textId="77777777" w:rsidR="006A24DA" w:rsidRPr="00220E71" w:rsidRDefault="006A24DA" w:rsidP="002E41EE">
      <w:pPr>
        <w:jc w:val="both"/>
        <w:rPr>
          <w:rFonts w:cs="Arial"/>
          <w:sz w:val="16"/>
          <w:szCs w:val="16"/>
        </w:rPr>
      </w:pPr>
    </w:p>
    <w:p w14:paraId="3F0E9246" w14:textId="66AEA352" w:rsidR="002E41EE" w:rsidRPr="0071173A" w:rsidRDefault="002E41EE" w:rsidP="002E41EE">
      <w:pPr>
        <w:jc w:val="both"/>
        <w:rPr>
          <w:rFonts w:cs="Arial"/>
        </w:rPr>
      </w:pPr>
      <w:r w:rsidRPr="006A24DA">
        <w:rPr>
          <w:rFonts w:cs="Arial"/>
        </w:rPr>
        <w:t>Personen, die bisher nicht gegen eine Erkrankung durch COVID-19 geimpft bzw. von dieser Erkrankung genesen sind</w:t>
      </w:r>
      <w:r w:rsidR="006A24DA">
        <w:rPr>
          <w:rFonts w:cs="Arial"/>
        </w:rPr>
        <w:t xml:space="preserve">, müssen </w:t>
      </w:r>
      <w:r w:rsidR="003A143B">
        <w:rPr>
          <w:rFonts w:cs="Arial"/>
        </w:rPr>
        <w:t xml:space="preserve">ebenfalls </w:t>
      </w:r>
      <w:r w:rsidRPr="00960F27">
        <w:rPr>
          <w:rFonts w:cs="Arial"/>
        </w:rPr>
        <w:t>täglich</w:t>
      </w:r>
      <w:r w:rsidR="006A24DA">
        <w:rPr>
          <w:rFonts w:cs="Arial"/>
        </w:rPr>
        <w:t xml:space="preserve"> </w:t>
      </w:r>
      <w:r w:rsidR="00DF2CE2">
        <w:rPr>
          <w:rFonts w:cs="Arial"/>
        </w:rPr>
        <w:t xml:space="preserve">eine Testung </w:t>
      </w:r>
      <w:r w:rsidR="0071173A">
        <w:rPr>
          <w:rFonts w:cs="Arial"/>
        </w:rPr>
        <w:t>nach</w:t>
      </w:r>
      <w:r w:rsidR="00DF2CE2">
        <w:rPr>
          <w:rFonts w:cs="Arial"/>
        </w:rPr>
        <w:t>weisen</w:t>
      </w:r>
      <w:r w:rsidR="006A24DA">
        <w:rPr>
          <w:rFonts w:cs="Arial"/>
        </w:rPr>
        <w:t>.</w:t>
      </w:r>
      <w:r w:rsidR="003A143B">
        <w:rPr>
          <w:rFonts w:cs="Arial"/>
        </w:rPr>
        <w:t xml:space="preserve"> </w:t>
      </w:r>
      <w:r w:rsidR="006A24DA">
        <w:rPr>
          <w:rFonts w:cs="Arial"/>
        </w:rPr>
        <w:t>Die Testungen sind</w:t>
      </w:r>
      <w:r>
        <w:rPr>
          <w:rFonts w:cs="Arial"/>
        </w:rPr>
        <w:t xml:space="preserve"> </w:t>
      </w:r>
      <w:r w:rsidRPr="00257CA1">
        <w:rPr>
          <w:rFonts w:cs="Arial"/>
        </w:rPr>
        <w:t xml:space="preserve">mittels </w:t>
      </w:r>
      <w:r w:rsidR="00F21005">
        <w:rPr>
          <w:rFonts w:cs="Arial"/>
        </w:rPr>
        <w:t>Corona-</w:t>
      </w:r>
      <w:r w:rsidR="00F21005" w:rsidRPr="00257CA1">
        <w:rPr>
          <w:rFonts w:cs="Arial"/>
        </w:rPr>
        <w:t>PoC-Antigen</w:t>
      </w:r>
      <w:r w:rsidR="00F21005">
        <w:rPr>
          <w:rFonts w:cs="Arial"/>
        </w:rPr>
        <w:t>-S</w:t>
      </w:r>
      <w:r w:rsidR="00F21005" w:rsidRPr="00257CA1">
        <w:rPr>
          <w:rFonts w:cs="Arial"/>
        </w:rPr>
        <w:t xml:space="preserve">chnelltest </w:t>
      </w:r>
      <w:r>
        <w:rPr>
          <w:rFonts w:cs="Arial"/>
        </w:rPr>
        <w:t xml:space="preserve">unter Aufsicht </w:t>
      </w:r>
      <w:r w:rsidR="006A24DA">
        <w:rPr>
          <w:rFonts w:cs="Arial"/>
        </w:rPr>
        <w:t>durchzuführen</w:t>
      </w:r>
      <w:r w:rsidRPr="00257CA1">
        <w:rPr>
          <w:rFonts w:cs="Arial"/>
        </w:rPr>
        <w:t>.</w:t>
      </w:r>
      <w:r>
        <w:rPr>
          <w:rFonts w:cs="Arial"/>
        </w:rPr>
        <w:t xml:space="preserve"> Dies geschieht entweder </w:t>
      </w:r>
      <w:r w:rsidR="00F21005">
        <w:rPr>
          <w:rFonts w:cs="Arial"/>
        </w:rPr>
        <w:t xml:space="preserve">in der Praxis oder </w:t>
      </w:r>
      <w:r>
        <w:rPr>
          <w:rFonts w:cs="Arial"/>
        </w:rPr>
        <w:t>durch eine zugelassene Teststelle.</w:t>
      </w:r>
      <w:r w:rsidR="00A53109">
        <w:rPr>
          <w:rFonts w:cs="Arial"/>
        </w:rPr>
        <w:t xml:space="preserve"> </w:t>
      </w:r>
      <w:r w:rsidR="00175611" w:rsidRPr="0071173A">
        <w:rPr>
          <w:rFonts w:cs="Arial"/>
        </w:rPr>
        <w:t xml:space="preserve">Das Ergebnis des Tests muss in jedem Fall </w:t>
      </w:r>
      <w:r w:rsidR="001845F7" w:rsidRPr="0071173A">
        <w:rPr>
          <w:rFonts w:cs="Arial"/>
        </w:rPr>
        <w:t>vor</w:t>
      </w:r>
      <w:r w:rsidR="00175611" w:rsidRPr="0071173A">
        <w:rPr>
          <w:rFonts w:cs="Arial"/>
        </w:rPr>
        <w:t xml:space="preserve"> Aufnahme der Tätigkeit in der Praxis vorliegen.</w:t>
      </w:r>
    </w:p>
    <w:p w14:paraId="2D0E6278" w14:textId="77777777" w:rsidR="002E41EE" w:rsidRPr="0071173A" w:rsidRDefault="002E41EE" w:rsidP="002E41EE">
      <w:pPr>
        <w:jc w:val="both"/>
        <w:rPr>
          <w:rFonts w:cs="Arial"/>
        </w:rPr>
      </w:pPr>
    </w:p>
    <w:p w14:paraId="10170D32" w14:textId="6698AD88" w:rsidR="002E41EE" w:rsidRDefault="002E41EE" w:rsidP="002E41EE">
      <w:pPr>
        <w:jc w:val="both"/>
        <w:rPr>
          <w:rFonts w:cs="Arial"/>
        </w:rPr>
      </w:pPr>
      <w:r w:rsidRPr="00257CA1">
        <w:rPr>
          <w:rFonts w:cs="Arial"/>
        </w:rPr>
        <w:t>Die</w:t>
      </w:r>
      <w:r>
        <w:rPr>
          <w:rFonts w:cs="Arial"/>
        </w:rPr>
        <w:t xml:space="preserve"> </w:t>
      </w:r>
      <w:r w:rsidR="001D584D">
        <w:rPr>
          <w:rFonts w:cs="Arial"/>
        </w:rPr>
        <w:t>Corona-</w:t>
      </w:r>
      <w:r w:rsidR="001D584D" w:rsidRPr="00257CA1">
        <w:rPr>
          <w:rFonts w:cs="Arial"/>
        </w:rPr>
        <w:t>PoC-Antigen</w:t>
      </w:r>
      <w:r w:rsidR="001D584D">
        <w:rPr>
          <w:rFonts w:cs="Arial"/>
        </w:rPr>
        <w:t>-S</w:t>
      </w:r>
      <w:r w:rsidR="001D584D" w:rsidRPr="00257CA1">
        <w:rPr>
          <w:rFonts w:cs="Arial"/>
        </w:rPr>
        <w:t>chnelltest</w:t>
      </w:r>
      <w:r w:rsidR="001D584D">
        <w:rPr>
          <w:rFonts w:cs="Arial"/>
        </w:rPr>
        <w:t>s</w:t>
      </w:r>
      <w:r w:rsidR="001D584D" w:rsidRPr="00257CA1">
        <w:rPr>
          <w:rFonts w:cs="Arial"/>
        </w:rPr>
        <w:t xml:space="preserve"> </w:t>
      </w:r>
      <w:r w:rsidR="001D584D">
        <w:rPr>
          <w:rFonts w:cs="Arial"/>
        </w:rPr>
        <w:t xml:space="preserve">in der Praxis </w:t>
      </w:r>
      <w:r w:rsidRPr="00257CA1">
        <w:rPr>
          <w:rFonts w:cs="Arial"/>
        </w:rPr>
        <w:t>werden nur durch Mitarbeiterinnen</w:t>
      </w:r>
      <w:r w:rsidR="00F95523">
        <w:rPr>
          <w:rFonts w:cs="Arial"/>
        </w:rPr>
        <w:t xml:space="preserve"> und Mitarbeiter</w:t>
      </w:r>
      <w:r w:rsidRPr="00257CA1">
        <w:rPr>
          <w:rFonts w:cs="Arial"/>
        </w:rPr>
        <w:t xml:space="preserve"> durchgeführt, die über (mindestens) grundlegende medizinische Kenntnisse verfügen (Zahnärztin</w:t>
      </w:r>
      <w:r w:rsidR="00F95523">
        <w:rPr>
          <w:rFonts w:cs="Arial"/>
        </w:rPr>
        <w:t>/ Zahnarzt</w:t>
      </w:r>
      <w:r w:rsidRPr="00257CA1">
        <w:rPr>
          <w:rFonts w:cs="Arial"/>
        </w:rPr>
        <w:t>, Zahnmedizinische Fachangestellte</w:t>
      </w:r>
      <w:r w:rsidR="00F95523">
        <w:rPr>
          <w:rFonts w:cs="Arial"/>
        </w:rPr>
        <w:t xml:space="preserve">/ </w:t>
      </w:r>
      <w:r w:rsidR="00F95523" w:rsidRPr="00257CA1">
        <w:rPr>
          <w:rFonts w:cs="Arial"/>
        </w:rPr>
        <w:t>Zahnmedizinischer Fachangestellter</w:t>
      </w:r>
      <w:r w:rsidRPr="00257CA1">
        <w:rPr>
          <w:rFonts w:cs="Arial"/>
        </w:rPr>
        <w:t xml:space="preserve">). Die Mitarbeiterinnen </w:t>
      </w:r>
      <w:r w:rsidR="00F95523">
        <w:rPr>
          <w:rFonts w:cs="Arial"/>
        </w:rPr>
        <w:t xml:space="preserve">und Mitarbeiter </w:t>
      </w:r>
      <w:r w:rsidRPr="00257CA1">
        <w:rPr>
          <w:rFonts w:cs="Arial"/>
        </w:rPr>
        <w:t xml:space="preserve">sind entsprechend für die Durchführung der Testung geschult. Die eingesetzten </w:t>
      </w:r>
      <w:r w:rsidR="001D584D" w:rsidRPr="001D584D">
        <w:rPr>
          <w:rFonts w:cs="Arial"/>
        </w:rPr>
        <w:t xml:space="preserve">Corona-PoC-Antigen-Schnelltests in der Praxis </w:t>
      </w:r>
      <w:r w:rsidRPr="00257CA1">
        <w:rPr>
          <w:rFonts w:cs="Arial"/>
        </w:rPr>
        <w:t xml:space="preserve">sind auf der Liste des </w:t>
      </w:r>
      <w:r w:rsidR="001D584D" w:rsidRPr="001D584D">
        <w:rPr>
          <w:rFonts w:cs="Arial"/>
        </w:rPr>
        <w:t>Bundesinstitut</w:t>
      </w:r>
      <w:r w:rsidR="001D584D">
        <w:rPr>
          <w:rFonts w:cs="Arial"/>
        </w:rPr>
        <w:t>s</w:t>
      </w:r>
      <w:r w:rsidR="001D584D" w:rsidRPr="001D584D">
        <w:rPr>
          <w:rFonts w:cs="Arial"/>
        </w:rPr>
        <w:t xml:space="preserve"> für Arzneimittel und Medizinprodukte </w:t>
      </w:r>
      <w:r w:rsidR="001D584D">
        <w:rPr>
          <w:rFonts w:cs="Arial"/>
        </w:rPr>
        <w:t>(</w:t>
      </w:r>
      <w:r w:rsidRPr="00257CA1">
        <w:rPr>
          <w:rFonts w:cs="Arial"/>
        </w:rPr>
        <w:t>BfArM</w:t>
      </w:r>
      <w:r w:rsidR="001D584D">
        <w:rPr>
          <w:rFonts w:cs="Arial"/>
        </w:rPr>
        <w:t>)</w:t>
      </w:r>
      <w:r w:rsidRPr="00257CA1">
        <w:rPr>
          <w:rFonts w:cs="Arial"/>
        </w:rPr>
        <w:t xml:space="preserve"> aufgeführt und erfüllen die entsprechenden Kriterien. Die Herstellerangaben des </w:t>
      </w:r>
      <w:r w:rsidR="001D584D" w:rsidRPr="001D584D">
        <w:rPr>
          <w:rFonts w:cs="Arial"/>
        </w:rPr>
        <w:t xml:space="preserve">Corona-PoC-Antigen-Schnelltests </w:t>
      </w:r>
      <w:r w:rsidR="001D584D">
        <w:rPr>
          <w:rFonts w:cs="Arial"/>
        </w:rPr>
        <w:t>liegen in der Praxis vor und werden beachtet.</w:t>
      </w:r>
    </w:p>
    <w:p w14:paraId="0A4616CC" w14:textId="3DE54229" w:rsidR="00C64533" w:rsidRDefault="00C64533" w:rsidP="002E41EE">
      <w:pPr>
        <w:jc w:val="both"/>
        <w:rPr>
          <w:rFonts w:cs="Arial"/>
        </w:rPr>
      </w:pPr>
    </w:p>
    <w:p w14:paraId="1F2805A0" w14:textId="2AD4050F" w:rsidR="00C64533" w:rsidRPr="006C240F" w:rsidRDefault="00C64533" w:rsidP="002E41EE">
      <w:pPr>
        <w:jc w:val="both"/>
        <w:rPr>
          <w:rFonts w:cs="Arial"/>
        </w:rPr>
      </w:pPr>
      <w:r w:rsidRPr="006C240F">
        <w:rPr>
          <w:rFonts w:cs="Arial"/>
        </w:rPr>
        <w:t>Verantwortliche Mitarbeiterinnen/Mitarbeiter für die Durchführung der praxisinternen Testung sind:</w:t>
      </w:r>
    </w:p>
    <w:p w14:paraId="22D2E0C6" w14:textId="0F05DAFB" w:rsidR="00C64533" w:rsidRPr="006C240F" w:rsidRDefault="00C64533" w:rsidP="002E41EE">
      <w:pPr>
        <w:jc w:val="both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4533" w14:paraId="24D6ACE3" w14:textId="77777777" w:rsidTr="00C64533">
        <w:tc>
          <w:tcPr>
            <w:tcW w:w="4531" w:type="dxa"/>
          </w:tcPr>
          <w:p w14:paraId="001974AE" w14:textId="3E26B663" w:rsidR="00C64533" w:rsidRPr="006C240F" w:rsidRDefault="00C64533" w:rsidP="002E41EE">
            <w:pPr>
              <w:jc w:val="both"/>
              <w:rPr>
                <w:rFonts w:cs="Arial"/>
              </w:rPr>
            </w:pPr>
            <w:r w:rsidRPr="006C240F">
              <w:rPr>
                <w:rFonts w:cs="Arial"/>
              </w:rPr>
              <w:t>Name</w:t>
            </w:r>
          </w:p>
        </w:tc>
        <w:tc>
          <w:tcPr>
            <w:tcW w:w="4531" w:type="dxa"/>
          </w:tcPr>
          <w:p w14:paraId="6B9DEE95" w14:textId="00C30B14" w:rsidR="00C64533" w:rsidRDefault="00C64533" w:rsidP="002E41EE">
            <w:pPr>
              <w:jc w:val="both"/>
              <w:rPr>
                <w:rFonts w:cs="Arial"/>
              </w:rPr>
            </w:pPr>
            <w:r w:rsidRPr="006C240F">
              <w:rPr>
                <w:rFonts w:cs="Arial"/>
              </w:rPr>
              <w:t>Vorname</w:t>
            </w:r>
          </w:p>
        </w:tc>
      </w:tr>
      <w:tr w:rsidR="00C64533" w14:paraId="65C89742" w14:textId="77777777" w:rsidTr="00C64533">
        <w:tc>
          <w:tcPr>
            <w:tcW w:w="4531" w:type="dxa"/>
          </w:tcPr>
          <w:p w14:paraId="5CEBB95B" w14:textId="77777777" w:rsidR="00C64533" w:rsidRDefault="00C64533" w:rsidP="002E41EE">
            <w:pPr>
              <w:jc w:val="both"/>
              <w:rPr>
                <w:rFonts w:cs="Arial"/>
              </w:rPr>
            </w:pPr>
          </w:p>
        </w:tc>
        <w:tc>
          <w:tcPr>
            <w:tcW w:w="4531" w:type="dxa"/>
          </w:tcPr>
          <w:p w14:paraId="5A32B14C" w14:textId="77777777" w:rsidR="00C64533" w:rsidRDefault="00C64533" w:rsidP="002E41EE">
            <w:pPr>
              <w:jc w:val="both"/>
              <w:rPr>
                <w:rFonts w:cs="Arial"/>
              </w:rPr>
            </w:pPr>
          </w:p>
        </w:tc>
      </w:tr>
      <w:tr w:rsidR="00C64533" w14:paraId="07295D7A" w14:textId="77777777" w:rsidTr="00C64533">
        <w:tc>
          <w:tcPr>
            <w:tcW w:w="4531" w:type="dxa"/>
          </w:tcPr>
          <w:p w14:paraId="34045A85" w14:textId="77777777" w:rsidR="00C64533" w:rsidRDefault="00C64533" w:rsidP="002E41EE">
            <w:pPr>
              <w:jc w:val="both"/>
              <w:rPr>
                <w:rFonts w:cs="Arial"/>
              </w:rPr>
            </w:pPr>
          </w:p>
        </w:tc>
        <w:tc>
          <w:tcPr>
            <w:tcW w:w="4531" w:type="dxa"/>
          </w:tcPr>
          <w:p w14:paraId="261177B0" w14:textId="77777777" w:rsidR="00C64533" w:rsidRDefault="00C64533" w:rsidP="002E41EE">
            <w:pPr>
              <w:jc w:val="both"/>
              <w:rPr>
                <w:rFonts w:cs="Arial"/>
              </w:rPr>
            </w:pPr>
          </w:p>
        </w:tc>
      </w:tr>
    </w:tbl>
    <w:p w14:paraId="39305CD5" w14:textId="5AFA2B5D" w:rsidR="006C240F" w:rsidRDefault="006C240F" w:rsidP="002E41EE">
      <w:pPr>
        <w:jc w:val="both"/>
        <w:rPr>
          <w:rFonts w:cs="Arial"/>
        </w:rPr>
      </w:pPr>
      <w:r>
        <w:rPr>
          <w:rFonts w:cs="Arial"/>
        </w:rPr>
        <w:br w:type="page"/>
      </w:r>
    </w:p>
    <w:p w14:paraId="0D0C609E" w14:textId="77777777" w:rsidR="00C64533" w:rsidRDefault="006A24DA" w:rsidP="00C64533">
      <w:pPr>
        <w:jc w:val="both"/>
        <w:rPr>
          <w:rFonts w:cs="Arial"/>
          <w:strike/>
        </w:rPr>
      </w:pPr>
      <w:r w:rsidRPr="00257CA1">
        <w:rPr>
          <w:rFonts w:cs="Arial"/>
        </w:rPr>
        <w:lastRenderedPageBreak/>
        <w:t xml:space="preserve">Nach der Durchführung des </w:t>
      </w:r>
      <w:r>
        <w:rPr>
          <w:rFonts w:cs="Arial"/>
        </w:rPr>
        <w:t>Corona-</w:t>
      </w:r>
      <w:r w:rsidRPr="00257CA1">
        <w:rPr>
          <w:rFonts w:cs="Arial"/>
        </w:rPr>
        <w:t>PoC-Antigen</w:t>
      </w:r>
      <w:r>
        <w:rPr>
          <w:rFonts w:cs="Arial"/>
        </w:rPr>
        <w:t>-S</w:t>
      </w:r>
      <w:r w:rsidRPr="00257CA1">
        <w:rPr>
          <w:rFonts w:cs="Arial"/>
        </w:rPr>
        <w:t>chnelltest</w:t>
      </w:r>
      <w:r>
        <w:rPr>
          <w:rFonts w:cs="Arial"/>
        </w:rPr>
        <w:t>s</w:t>
      </w:r>
      <w:r w:rsidRPr="00257CA1">
        <w:rPr>
          <w:rFonts w:cs="Arial"/>
        </w:rPr>
        <w:t xml:space="preserve"> </w:t>
      </w:r>
      <w:r>
        <w:rPr>
          <w:rFonts w:cs="Arial"/>
        </w:rPr>
        <w:t xml:space="preserve">in der Praxis </w:t>
      </w:r>
      <w:r w:rsidRPr="00257CA1">
        <w:rPr>
          <w:rFonts w:cs="Arial"/>
        </w:rPr>
        <w:t>wird das Testergebnis der getesteten Person umgehend mitgeteilt.</w:t>
      </w:r>
      <w:r>
        <w:rPr>
          <w:rFonts w:cs="Arial"/>
        </w:rPr>
        <w:t xml:space="preserve"> </w:t>
      </w:r>
      <w:r w:rsidRPr="00257CA1">
        <w:rPr>
          <w:rFonts w:cs="Arial"/>
        </w:rPr>
        <w:t xml:space="preserve">Ist der </w:t>
      </w:r>
      <w:r>
        <w:rPr>
          <w:rFonts w:cs="Arial"/>
        </w:rPr>
        <w:t>Corona-</w:t>
      </w:r>
      <w:r w:rsidRPr="00257CA1">
        <w:rPr>
          <w:rFonts w:cs="Arial"/>
        </w:rPr>
        <w:t>PoC-Antigen</w:t>
      </w:r>
      <w:r>
        <w:rPr>
          <w:rFonts w:cs="Arial"/>
        </w:rPr>
        <w:t>-S</w:t>
      </w:r>
      <w:r w:rsidRPr="00257CA1">
        <w:rPr>
          <w:rFonts w:cs="Arial"/>
        </w:rPr>
        <w:t xml:space="preserve">chnelltest positiv, </w:t>
      </w:r>
      <w:r>
        <w:rPr>
          <w:rFonts w:cs="Arial"/>
        </w:rPr>
        <w:t xml:space="preserve">erfolgt anschließend die Überprüfung (Bestätigung) des </w:t>
      </w:r>
      <w:r w:rsidRPr="00257CA1">
        <w:rPr>
          <w:rFonts w:cs="Arial"/>
        </w:rPr>
        <w:t>Testergebnisses</w:t>
      </w:r>
      <w:r>
        <w:rPr>
          <w:rFonts w:cs="Arial"/>
        </w:rPr>
        <w:t xml:space="preserve"> mittels eines Corona-PCR-Tests.</w:t>
      </w:r>
    </w:p>
    <w:p w14:paraId="61F163E1" w14:textId="2BC468B1" w:rsidR="00C64533" w:rsidRPr="006C240F" w:rsidRDefault="00C64533" w:rsidP="00C64533">
      <w:pPr>
        <w:jc w:val="both"/>
        <w:rPr>
          <w:rFonts w:cs="Arial"/>
        </w:rPr>
      </w:pPr>
    </w:p>
    <w:p w14:paraId="28F128E4" w14:textId="77777777" w:rsidR="006C240F" w:rsidRPr="006C240F" w:rsidRDefault="006C240F" w:rsidP="00C64533">
      <w:pPr>
        <w:jc w:val="both"/>
        <w:rPr>
          <w:rFonts w:cs="Arial"/>
        </w:rPr>
      </w:pPr>
    </w:p>
    <w:p w14:paraId="16D4B2FB" w14:textId="2EE352EF" w:rsidR="00A53109" w:rsidRPr="00C64533" w:rsidRDefault="00A53109" w:rsidP="00C64533">
      <w:pPr>
        <w:pStyle w:val="Listenabsatz"/>
        <w:numPr>
          <w:ilvl w:val="0"/>
          <w:numId w:val="1"/>
        </w:numPr>
        <w:ind w:left="284" w:hanging="284"/>
        <w:jc w:val="both"/>
        <w:rPr>
          <w:rFonts w:cs="Arial"/>
        </w:rPr>
      </w:pPr>
      <w:r w:rsidRPr="00C64533">
        <w:rPr>
          <w:rFonts w:cs="Arial"/>
          <w:b/>
          <w:bCs/>
        </w:rPr>
        <w:t>Besucher</w:t>
      </w:r>
      <w:r w:rsidR="008A7574" w:rsidRPr="00C64533">
        <w:rPr>
          <w:rFonts w:cs="Arial"/>
          <w:b/>
          <w:bCs/>
        </w:rPr>
        <w:t>innen und Besucher</w:t>
      </w:r>
    </w:p>
    <w:p w14:paraId="5B09A96F" w14:textId="04118C7A" w:rsidR="00A42CC4" w:rsidRPr="00B916A8" w:rsidRDefault="00A42CC4" w:rsidP="00A42CC4">
      <w:pPr>
        <w:jc w:val="both"/>
        <w:rPr>
          <w:rFonts w:cs="Arial"/>
          <w:sz w:val="16"/>
          <w:szCs w:val="16"/>
        </w:rPr>
      </w:pPr>
    </w:p>
    <w:p w14:paraId="5B1D3544" w14:textId="617BFBEE" w:rsidR="00B91A9D" w:rsidRDefault="00A42CC4" w:rsidP="00A42CC4">
      <w:pPr>
        <w:jc w:val="both"/>
        <w:rPr>
          <w:rFonts w:cs="Arial"/>
        </w:rPr>
      </w:pPr>
      <w:r w:rsidRPr="00B916A8">
        <w:rPr>
          <w:rFonts w:cs="Arial"/>
        </w:rPr>
        <w:t>Besucher</w:t>
      </w:r>
      <w:r w:rsidR="008A7574">
        <w:rPr>
          <w:rFonts w:cs="Arial"/>
        </w:rPr>
        <w:t>innen und Besucher</w:t>
      </w:r>
      <w:r w:rsidRPr="00B916A8">
        <w:rPr>
          <w:rFonts w:cs="Arial"/>
        </w:rPr>
        <w:t xml:space="preserve"> </w:t>
      </w:r>
      <w:r w:rsidR="006A24DA">
        <w:rPr>
          <w:rFonts w:cs="Arial"/>
        </w:rPr>
        <w:t>müssen beim Betreten der Zahnarztpraxis einen aktuell gültigen Testnachweis vorweisen</w:t>
      </w:r>
      <w:r w:rsidR="00B91A9D">
        <w:rPr>
          <w:rFonts w:cs="Arial"/>
        </w:rPr>
        <w:t>, unabhängig davon</w:t>
      </w:r>
      <w:r w:rsidR="00406878">
        <w:rPr>
          <w:rFonts w:cs="Arial"/>
        </w:rPr>
        <w:t xml:space="preserve">, </w:t>
      </w:r>
      <w:r w:rsidR="00B91A9D">
        <w:rPr>
          <w:rFonts w:cs="Arial"/>
        </w:rPr>
        <w:t>ob sie geimpft oder genesen sind.</w:t>
      </w:r>
    </w:p>
    <w:p w14:paraId="05F183CE" w14:textId="77777777" w:rsidR="00B91A9D" w:rsidRDefault="00B91A9D" w:rsidP="00A42CC4">
      <w:pPr>
        <w:jc w:val="both"/>
        <w:rPr>
          <w:rFonts w:cs="Arial"/>
        </w:rPr>
      </w:pPr>
    </w:p>
    <w:p w14:paraId="618C64C3" w14:textId="5977A4F1" w:rsidR="00A42CC4" w:rsidRPr="00B916A8" w:rsidRDefault="00B91A9D" w:rsidP="00A42CC4">
      <w:pPr>
        <w:jc w:val="both"/>
        <w:rPr>
          <w:rFonts w:cs="Arial"/>
        </w:rPr>
      </w:pPr>
      <w:r>
        <w:rPr>
          <w:rFonts w:cs="Arial"/>
        </w:rPr>
        <w:t xml:space="preserve">Besucherinnen und Besucher </w:t>
      </w:r>
      <w:r w:rsidR="00A42CC4" w:rsidRPr="00B916A8">
        <w:rPr>
          <w:rFonts w:cs="Arial"/>
        </w:rPr>
        <w:t>in der Zahnarztpraxis sind beispielsweise Begleitperson</w:t>
      </w:r>
      <w:r w:rsidR="008A7574">
        <w:rPr>
          <w:rFonts w:cs="Arial"/>
        </w:rPr>
        <w:t>en</w:t>
      </w:r>
      <w:r w:rsidR="00A42CC4" w:rsidRPr="00B916A8">
        <w:rPr>
          <w:rFonts w:cs="Arial"/>
        </w:rPr>
        <w:t xml:space="preserve"> de</w:t>
      </w:r>
      <w:r w:rsidR="008A7574">
        <w:rPr>
          <w:rFonts w:cs="Arial"/>
        </w:rPr>
        <w:t>r</w:t>
      </w:r>
      <w:r w:rsidR="00A42CC4" w:rsidRPr="00B916A8">
        <w:rPr>
          <w:rFonts w:cs="Arial"/>
        </w:rPr>
        <w:t xml:space="preserve"> Patienten, Techniker, Handwerker, Brief- und Paketboten. Zu Besuchern zählen </w:t>
      </w:r>
      <w:r w:rsidR="00A42CC4" w:rsidRPr="00B916A8">
        <w:rPr>
          <w:rFonts w:cs="Arial"/>
          <w:b/>
          <w:bCs/>
          <w:u w:val="single"/>
        </w:rPr>
        <w:t>nicht</w:t>
      </w:r>
      <w:r w:rsidR="00A42CC4" w:rsidRPr="00B916A8">
        <w:rPr>
          <w:rFonts w:cs="Arial"/>
          <w:b/>
          <w:bCs/>
        </w:rPr>
        <w:t xml:space="preserve"> </w:t>
      </w:r>
      <w:r w:rsidR="008A7574" w:rsidRPr="008A7574">
        <w:rPr>
          <w:rFonts w:cs="Arial"/>
        </w:rPr>
        <w:t>Patientinnen und</w:t>
      </w:r>
      <w:r w:rsidR="008A7574">
        <w:rPr>
          <w:rFonts w:cs="Arial"/>
          <w:b/>
          <w:bCs/>
        </w:rPr>
        <w:t xml:space="preserve"> </w:t>
      </w:r>
      <w:r w:rsidR="00A42CC4" w:rsidRPr="00B916A8">
        <w:rPr>
          <w:rFonts w:cs="Arial"/>
        </w:rPr>
        <w:t>Patienten.</w:t>
      </w:r>
    </w:p>
    <w:p w14:paraId="15D2DD37" w14:textId="77777777" w:rsidR="00A42CC4" w:rsidRPr="00B916A8" w:rsidRDefault="00A42CC4" w:rsidP="00A42CC4">
      <w:pPr>
        <w:jc w:val="both"/>
        <w:rPr>
          <w:rFonts w:cs="Arial"/>
        </w:rPr>
      </w:pPr>
    </w:p>
    <w:p w14:paraId="3046CAC3" w14:textId="2956FF04" w:rsidR="00A42CC4" w:rsidRPr="00B916A8" w:rsidRDefault="00A42CC4" w:rsidP="00A42CC4">
      <w:pPr>
        <w:jc w:val="both"/>
        <w:rPr>
          <w:rFonts w:cs="Arial"/>
        </w:rPr>
      </w:pPr>
      <w:r w:rsidRPr="00B916A8">
        <w:rPr>
          <w:rFonts w:cs="Arial"/>
        </w:rPr>
        <w:t xml:space="preserve">Für diesen Personenkreis </w:t>
      </w:r>
      <w:r w:rsidR="00B91A9D">
        <w:rPr>
          <w:rFonts w:cs="Arial"/>
        </w:rPr>
        <w:t xml:space="preserve">ist </w:t>
      </w:r>
      <w:r w:rsidRPr="00B916A8">
        <w:rPr>
          <w:rFonts w:cs="Arial"/>
        </w:rPr>
        <w:t xml:space="preserve">in der Praxis die Möglichkeit einer Testung mittels </w:t>
      </w:r>
      <w:r w:rsidR="00B916A8">
        <w:rPr>
          <w:rFonts w:cs="Arial"/>
        </w:rPr>
        <w:t>Corona-</w:t>
      </w:r>
      <w:r w:rsidR="00B916A8" w:rsidRPr="00257CA1">
        <w:rPr>
          <w:rFonts w:cs="Arial"/>
        </w:rPr>
        <w:t>PoC-Antigen</w:t>
      </w:r>
      <w:r w:rsidR="00B916A8">
        <w:rPr>
          <w:rFonts w:cs="Arial"/>
        </w:rPr>
        <w:t>-S</w:t>
      </w:r>
      <w:r w:rsidR="00B916A8" w:rsidRPr="00257CA1">
        <w:rPr>
          <w:rFonts w:cs="Arial"/>
        </w:rPr>
        <w:t>chnelltest</w:t>
      </w:r>
      <w:r w:rsidR="00B916A8">
        <w:rPr>
          <w:rFonts w:cs="Arial"/>
        </w:rPr>
        <w:t xml:space="preserve"> </w:t>
      </w:r>
      <w:r w:rsidRPr="00B916A8">
        <w:rPr>
          <w:rFonts w:cs="Arial"/>
        </w:rPr>
        <w:t>bereit</w:t>
      </w:r>
      <w:r w:rsidR="00B91A9D">
        <w:rPr>
          <w:rFonts w:cs="Arial"/>
        </w:rPr>
        <w:t xml:space="preserve"> zu stellen</w:t>
      </w:r>
      <w:r w:rsidRPr="00B916A8">
        <w:rPr>
          <w:rFonts w:cs="Arial"/>
        </w:rPr>
        <w:t>, soweit diese Personen keinen beim Betreten der Praxis noch gültigen PoC</w:t>
      </w:r>
      <w:r w:rsidR="000C0757" w:rsidRPr="00B916A8">
        <w:rPr>
          <w:rFonts w:cs="Arial"/>
        </w:rPr>
        <w:t>-Antigentest (Gültigkeit 24 Stunden), oder einen Testnachweis mittels Nukleinsäureamplifikationstechnik (PCR, PoC-PCR; Gültigkeit 48 Stunden) vorweisen können.</w:t>
      </w:r>
    </w:p>
    <w:p w14:paraId="22103059" w14:textId="621B7B9B" w:rsidR="00B341E7" w:rsidRPr="00B916A8" w:rsidRDefault="00B341E7" w:rsidP="00A42CC4">
      <w:pPr>
        <w:jc w:val="both"/>
        <w:rPr>
          <w:rFonts w:cs="Arial"/>
        </w:rPr>
      </w:pPr>
    </w:p>
    <w:p w14:paraId="1EC6A884" w14:textId="284BE27F" w:rsidR="0079526E" w:rsidRDefault="00B341E7" w:rsidP="0079526E">
      <w:pPr>
        <w:jc w:val="both"/>
        <w:rPr>
          <w:rFonts w:cs="Arial"/>
        </w:rPr>
      </w:pPr>
      <w:r w:rsidRPr="00B916A8">
        <w:rPr>
          <w:rFonts w:cs="Arial"/>
        </w:rPr>
        <w:t xml:space="preserve">Für einen </w:t>
      </w:r>
      <w:r w:rsidR="00B91A9D">
        <w:rPr>
          <w:rFonts w:cs="Arial"/>
        </w:rPr>
        <w:t>durchgeführten</w:t>
      </w:r>
      <w:r w:rsidRPr="00B916A8">
        <w:rPr>
          <w:rFonts w:cs="Arial"/>
        </w:rPr>
        <w:t xml:space="preserve"> Test können die Auslagen in Rechnung gestellt werden.</w:t>
      </w:r>
      <w:r w:rsidR="00B91A9D">
        <w:rPr>
          <w:rFonts w:cs="Arial"/>
        </w:rPr>
        <w:t xml:space="preserve"> Steuerrechtliche Auswirkungen sind bei der Steuerberaterin bzw. beim Steuerberater </w:t>
      </w:r>
      <w:r w:rsidR="00827C98">
        <w:rPr>
          <w:rFonts w:cs="Arial"/>
        </w:rPr>
        <w:t xml:space="preserve">der Praxis </w:t>
      </w:r>
      <w:r w:rsidR="00B91A9D">
        <w:rPr>
          <w:rFonts w:cs="Arial"/>
        </w:rPr>
        <w:t>zu erfragen.</w:t>
      </w:r>
    </w:p>
    <w:p w14:paraId="3059A414" w14:textId="79F85CD8" w:rsidR="00B91A9D" w:rsidRDefault="00B91A9D" w:rsidP="0079526E">
      <w:pPr>
        <w:jc w:val="both"/>
        <w:rPr>
          <w:rFonts w:cs="Arial"/>
        </w:rPr>
      </w:pPr>
    </w:p>
    <w:p w14:paraId="480EB28B" w14:textId="19D2774F" w:rsidR="00B91A9D" w:rsidRPr="00B916A8" w:rsidRDefault="00B91A9D" w:rsidP="0079526E">
      <w:pPr>
        <w:jc w:val="both"/>
        <w:rPr>
          <w:rFonts w:cs="Arial"/>
        </w:rPr>
      </w:pPr>
      <w:r>
        <w:rPr>
          <w:rFonts w:cs="Arial"/>
        </w:rPr>
        <w:t>Besucherinnen und Besucher unter sechs Jahren sind von der Testpflicht befreit.</w:t>
      </w:r>
    </w:p>
    <w:p w14:paraId="2B1248D7" w14:textId="778138E4" w:rsidR="0079526E" w:rsidRPr="00B916A8" w:rsidRDefault="0079526E" w:rsidP="0079526E">
      <w:pPr>
        <w:jc w:val="both"/>
        <w:rPr>
          <w:rFonts w:cs="Arial"/>
        </w:rPr>
      </w:pPr>
    </w:p>
    <w:p w14:paraId="33708C66" w14:textId="7FC6EB69" w:rsidR="0079526E" w:rsidRPr="00B916A8" w:rsidRDefault="0079526E" w:rsidP="0079526E">
      <w:pPr>
        <w:jc w:val="both"/>
        <w:rPr>
          <w:rFonts w:cs="Arial"/>
        </w:rPr>
      </w:pPr>
    </w:p>
    <w:p w14:paraId="0D420A7E" w14:textId="3D9C2310" w:rsidR="0079526E" w:rsidRPr="00B916A8" w:rsidRDefault="008A7574" w:rsidP="00B916A8">
      <w:pPr>
        <w:pStyle w:val="Listenabsatz"/>
        <w:numPr>
          <w:ilvl w:val="0"/>
          <w:numId w:val="1"/>
        </w:numPr>
        <w:ind w:left="426" w:hanging="426"/>
        <w:rPr>
          <w:rFonts w:cs="Arial"/>
          <w:b/>
          <w:bCs/>
        </w:rPr>
      </w:pPr>
      <w:r>
        <w:rPr>
          <w:rFonts w:cs="Arial"/>
          <w:b/>
          <w:bCs/>
        </w:rPr>
        <w:t xml:space="preserve">Patientinnen und </w:t>
      </w:r>
      <w:r w:rsidR="0079526E" w:rsidRPr="00B916A8">
        <w:rPr>
          <w:rFonts w:cs="Arial"/>
          <w:b/>
          <w:bCs/>
        </w:rPr>
        <w:t>Patienten</w:t>
      </w:r>
    </w:p>
    <w:p w14:paraId="4A0EC098" w14:textId="77F69A3A" w:rsidR="0079526E" w:rsidRPr="00B916A8" w:rsidRDefault="0079526E" w:rsidP="0079526E">
      <w:pPr>
        <w:jc w:val="both"/>
        <w:rPr>
          <w:rFonts w:cs="Arial"/>
          <w:sz w:val="16"/>
          <w:szCs w:val="16"/>
        </w:rPr>
      </w:pPr>
    </w:p>
    <w:p w14:paraId="4A879470" w14:textId="63D6161C" w:rsidR="0079526E" w:rsidRPr="00B916A8" w:rsidRDefault="008A7574" w:rsidP="0079526E">
      <w:pPr>
        <w:jc w:val="both"/>
        <w:rPr>
          <w:rFonts w:cs="Arial"/>
        </w:rPr>
      </w:pPr>
      <w:r>
        <w:rPr>
          <w:rFonts w:cs="Arial"/>
        </w:rPr>
        <w:t xml:space="preserve">Patientinnen und </w:t>
      </w:r>
      <w:r w:rsidR="0079526E" w:rsidRPr="00B916A8">
        <w:rPr>
          <w:rFonts w:cs="Arial"/>
        </w:rPr>
        <w:t>Patienten dürfen zwar auf ihren Impf- und Teststatus hin befragt werden, jedoch ist dieser nicht Voraussetzung für eine Behandlung. Er dient ausschließlich zur Beurteilung der Gefährdungslage in der Praxis.</w:t>
      </w:r>
    </w:p>
    <w:p w14:paraId="2D7A85A2" w14:textId="50656D0B" w:rsidR="002E41EE" w:rsidRPr="00B916A8" w:rsidRDefault="002E41EE"/>
    <w:p w14:paraId="5E152CFD" w14:textId="77777777" w:rsidR="002E41EE" w:rsidRPr="00B916A8" w:rsidRDefault="002E41EE"/>
    <w:sectPr w:rsidR="002E41EE" w:rsidRPr="00B916A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9890" w14:textId="77777777" w:rsidR="00B26F76" w:rsidRDefault="00B26F76" w:rsidP="00B26F76">
      <w:r>
        <w:separator/>
      </w:r>
    </w:p>
  </w:endnote>
  <w:endnote w:type="continuationSeparator" w:id="0">
    <w:p w14:paraId="18B8DA12" w14:textId="77777777" w:rsidR="00B26F76" w:rsidRDefault="00B26F76" w:rsidP="00B2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678068"/>
      <w:docPartObj>
        <w:docPartGallery w:val="Page Numbers (Bottom of Page)"/>
        <w:docPartUnique/>
      </w:docPartObj>
    </w:sdtPr>
    <w:sdtEndPr/>
    <w:sdtContent>
      <w:p w14:paraId="6A586395" w14:textId="28EDB868" w:rsidR="00B26F76" w:rsidRPr="00B916A8" w:rsidRDefault="00B916A8" w:rsidP="00B26F76">
        <w:pPr>
          <w:pStyle w:val="Fuzeile"/>
          <w:tabs>
            <w:tab w:val="clear" w:pos="4536"/>
            <w:tab w:val="center" w:pos="4962"/>
          </w:tabs>
        </w:pPr>
        <w:r w:rsidRPr="00B26F76">
          <w:rPr>
            <w:rFonts w:cs="Arial"/>
            <w:sz w:val="20"/>
            <w:szCs w:val="20"/>
          </w:rPr>
          <w:t>©</w:t>
        </w:r>
        <w:r w:rsidRPr="00B26F76">
          <w:rPr>
            <w:sz w:val="20"/>
            <w:szCs w:val="20"/>
          </w:rPr>
          <w:t xml:space="preserve"> LZK BW</w:t>
        </w:r>
        <w:r>
          <w:rPr>
            <w:sz w:val="20"/>
            <w:szCs w:val="20"/>
          </w:rPr>
          <w:t xml:space="preserve"> 11/2021</w:t>
        </w:r>
        <w:r w:rsidRPr="00B26F76">
          <w:rPr>
            <w:sz w:val="20"/>
            <w:szCs w:val="20"/>
          </w:rPr>
          <w:tab/>
          <w:t>Muster-Corona-Testkonzept gemäß IfSG</w:t>
        </w:r>
        <w:r>
          <w:rPr>
            <w:sz w:val="20"/>
            <w:szCs w:val="20"/>
          </w:rPr>
          <w:tab/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7D76" w14:textId="77777777" w:rsidR="00B26F76" w:rsidRDefault="00B26F76" w:rsidP="00B26F76">
      <w:r>
        <w:separator/>
      </w:r>
    </w:p>
  </w:footnote>
  <w:footnote w:type="continuationSeparator" w:id="0">
    <w:p w14:paraId="54C7F60D" w14:textId="77777777" w:rsidR="00B26F76" w:rsidRDefault="00B26F76" w:rsidP="00B2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5493"/>
    <w:multiLevelType w:val="hybridMultilevel"/>
    <w:tmpl w:val="975AF7F4"/>
    <w:lvl w:ilvl="0" w:tplc="EE0013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E"/>
    <w:rsid w:val="00014D82"/>
    <w:rsid w:val="000C0757"/>
    <w:rsid w:val="000C721E"/>
    <w:rsid w:val="000D31A8"/>
    <w:rsid w:val="00101316"/>
    <w:rsid w:val="00102351"/>
    <w:rsid w:val="001327AB"/>
    <w:rsid w:val="00175611"/>
    <w:rsid w:val="001845F7"/>
    <w:rsid w:val="001D584D"/>
    <w:rsid w:val="001E1E44"/>
    <w:rsid w:val="00220E71"/>
    <w:rsid w:val="002E41EE"/>
    <w:rsid w:val="003A143B"/>
    <w:rsid w:val="00406878"/>
    <w:rsid w:val="006A24DA"/>
    <w:rsid w:val="006C240F"/>
    <w:rsid w:val="0071173A"/>
    <w:rsid w:val="0079526E"/>
    <w:rsid w:val="00827C98"/>
    <w:rsid w:val="008A7574"/>
    <w:rsid w:val="00960F27"/>
    <w:rsid w:val="00A42CC4"/>
    <w:rsid w:val="00A53109"/>
    <w:rsid w:val="00B26F76"/>
    <w:rsid w:val="00B341E7"/>
    <w:rsid w:val="00B916A8"/>
    <w:rsid w:val="00B91A9D"/>
    <w:rsid w:val="00C60D13"/>
    <w:rsid w:val="00C64533"/>
    <w:rsid w:val="00C82EBC"/>
    <w:rsid w:val="00CE0397"/>
    <w:rsid w:val="00D3461B"/>
    <w:rsid w:val="00DF2CE2"/>
    <w:rsid w:val="00DF503B"/>
    <w:rsid w:val="00E1070E"/>
    <w:rsid w:val="00ED05C7"/>
    <w:rsid w:val="00F21005"/>
    <w:rsid w:val="00F9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A046"/>
  <w15:chartTrackingRefBased/>
  <w15:docId w15:val="{8DB50F72-019D-42C6-B68C-2DA68042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6F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6F76"/>
  </w:style>
  <w:style w:type="paragraph" w:styleId="Fuzeile">
    <w:name w:val="footer"/>
    <w:basedOn w:val="Standard"/>
    <w:link w:val="FuzeileZchn"/>
    <w:uiPriority w:val="99"/>
    <w:unhideWhenUsed/>
    <w:rsid w:val="00B26F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6F76"/>
  </w:style>
  <w:style w:type="paragraph" w:styleId="Listenabsatz">
    <w:name w:val="List Paragraph"/>
    <w:basedOn w:val="Standard"/>
    <w:uiPriority w:val="34"/>
    <w:qFormat/>
    <w:rsid w:val="00A5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C6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Marco</dc:creator>
  <cp:keywords/>
  <dc:description/>
  <cp:lastModifiedBy>Mader, Andrea</cp:lastModifiedBy>
  <cp:revision>5</cp:revision>
  <cp:lastPrinted>2021-11-23T14:25:00Z</cp:lastPrinted>
  <dcterms:created xsi:type="dcterms:W3CDTF">2021-11-23T13:58:00Z</dcterms:created>
  <dcterms:modified xsi:type="dcterms:W3CDTF">2021-11-23T14:37:00Z</dcterms:modified>
</cp:coreProperties>
</file>